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96E2" w14:textId="3ED13E55" w:rsidR="00BC215F" w:rsidRPr="00BC215F" w:rsidRDefault="00BC215F" w:rsidP="00BC215F">
      <w:pPr>
        <w:spacing w:before="120" w:after="120"/>
        <w:jc w:val="right"/>
        <w:rPr>
          <w:rFonts w:ascii="Times New Roman" w:hAnsi="Times New Roman" w:cs="Times New Roman"/>
          <w:b/>
          <w:sz w:val="24"/>
          <w:szCs w:val="24"/>
        </w:rPr>
      </w:pPr>
      <w:r w:rsidRPr="00BC215F">
        <w:rPr>
          <w:rFonts w:ascii="Times New Roman" w:hAnsi="Times New Roman" w:cs="Times New Roman"/>
          <w:b/>
          <w:sz w:val="24"/>
          <w:szCs w:val="24"/>
        </w:rPr>
        <w:t>2</w:t>
      </w:r>
      <w:r w:rsidRPr="00BC215F">
        <w:rPr>
          <w:rFonts w:ascii="Times New Roman" w:hAnsi="Times New Roman" w:cs="Times New Roman"/>
          <w:b/>
          <w:sz w:val="24"/>
          <w:szCs w:val="24"/>
        </w:rPr>
        <w:t>.pielikums</w:t>
      </w:r>
    </w:p>
    <w:p w14:paraId="4A640C6E" w14:textId="004C6FED" w:rsidR="00BC215F" w:rsidRPr="00BC215F" w:rsidRDefault="008F649F" w:rsidP="00BC215F">
      <w:pPr>
        <w:spacing w:before="120" w:after="120"/>
        <w:jc w:val="right"/>
        <w:rPr>
          <w:rFonts w:ascii="Times New Roman" w:hAnsi="Times New Roman" w:cs="Times New Roman"/>
          <w:bCs/>
          <w:sz w:val="24"/>
          <w:szCs w:val="24"/>
        </w:rPr>
      </w:pPr>
      <w:r>
        <w:rPr>
          <w:rFonts w:ascii="Times New Roman" w:hAnsi="Times New Roman" w:cs="Times New Roman"/>
          <w:bCs/>
          <w:sz w:val="24"/>
          <w:szCs w:val="24"/>
        </w:rPr>
        <w:t>p</w:t>
      </w:r>
      <w:r w:rsidR="00BC215F" w:rsidRPr="00BC215F">
        <w:rPr>
          <w:rFonts w:ascii="Times New Roman" w:hAnsi="Times New Roman" w:cs="Times New Roman"/>
          <w:bCs/>
          <w:sz w:val="24"/>
          <w:szCs w:val="24"/>
        </w:rPr>
        <w:t>ie Tirgus izpētes nolikuma</w:t>
      </w:r>
    </w:p>
    <w:p w14:paraId="7B3DB7DE" w14:textId="77777777" w:rsidR="00BC215F" w:rsidRPr="00BC215F" w:rsidRDefault="00BC215F" w:rsidP="00BC215F">
      <w:pPr>
        <w:spacing w:before="120" w:after="120"/>
        <w:jc w:val="right"/>
        <w:rPr>
          <w:rFonts w:ascii="Times New Roman" w:hAnsi="Times New Roman" w:cs="Times New Roman"/>
          <w:bCs/>
          <w:color w:val="FF0000"/>
          <w:sz w:val="24"/>
          <w:szCs w:val="24"/>
          <w:lang w:eastAsia="en-US"/>
        </w:rPr>
      </w:pPr>
      <w:r w:rsidRPr="00BC215F">
        <w:rPr>
          <w:rFonts w:ascii="Times New Roman" w:hAnsi="Times New Roman" w:cs="Times New Roman"/>
          <w:bCs/>
          <w:sz w:val="24"/>
          <w:szCs w:val="24"/>
          <w:lang w:eastAsia="en-US"/>
        </w:rPr>
        <w:t>ID Nr. RAKUS CA/2026/56</w:t>
      </w:r>
      <w:r w:rsidRPr="00BC215F">
        <w:rPr>
          <w:rFonts w:ascii="Times New Roman" w:hAnsi="Times New Roman" w:cs="Times New Roman"/>
          <w:bCs/>
          <w:color w:val="FF0000"/>
          <w:sz w:val="24"/>
          <w:szCs w:val="24"/>
          <w:lang w:eastAsia="en-US"/>
        </w:rPr>
        <w:t>_tirgus izpēte</w:t>
      </w:r>
    </w:p>
    <w:p w14:paraId="736F531B" w14:textId="77777777" w:rsidR="00BC215F" w:rsidRPr="00BC215F" w:rsidRDefault="00BC215F" w:rsidP="00BC215F">
      <w:pPr>
        <w:spacing w:before="120" w:after="120"/>
        <w:jc w:val="center"/>
        <w:rPr>
          <w:rFonts w:ascii="Times New Roman" w:hAnsi="Times New Roman" w:cs="Times New Roman"/>
          <w:b/>
          <w:bCs/>
          <w:color w:val="1F3864"/>
          <w:sz w:val="24"/>
          <w:szCs w:val="24"/>
        </w:rPr>
      </w:pPr>
    </w:p>
    <w:p w14:paraId="339C9B1E" w14:textId="77777777" w:rsidR="00BC215F" w:rsidRPr="00BC215F" w:rsidRDefault="00BC215F" w:rsidP="00BC215F">
      <w:pPr>
        <w:spacing w:before="120" w:after="120"/>
        <w:jc w:val="center"/>
        <w:rPr>
          <w:rFonts w:ascii="Times New Roman" w:hAnsi="Times New Roman" w:cs="Times New Roman"/>
          <w:b/>
          <w:bCs/>
          <w:color w:val="1F3864"/>
          <w:sz w:val="24"/>
          <w:szCs w:val="24"/>
        </w:rPr>
      </w:pPr>
    </w:p>
    <w:p w14:paraId="45ACEBFD" w14:textId="10D417AA" w:rsidR="00AB79D1" w:rsidRPr="00BC215F" w:rsidRDefault="00C44FBD" w:rsidP="00BC215F">
      <w:pPr>
        <w:spacing w:before="120" w:after="120"/>
        <w:jc w:val="center"/>
        <w:rPr>
          <w:rFonts w:ascii="Times New Roman" w:hAnsi="Times New Roman" w:cs="Times New Roman"/>
          <w:sz w:val="24"/>
          <w:szCs w:val="24"/>
        </w:rPr>
      </w:pPr>
      <w:r w:rsidRPr="00BC215F">
        <w:rPr>
          <w:rFonts w:ascii="Times New Roman" w:hAnsi="Times New Roman" w:cs="Times New Roman"/>
          <w:b/>
          <w:bCs/>
          <w:sz w:val="24"/>
          <w:szCs w:val="24"/>
        </w:rPr>
        <w:t>TEHNISKĀ SPECIFIKĀCIJA</w:t>
      </w:r>
    </w:p>
    <w:p w14:paraId="15E6181D" w14:textId="77777777" w:rsidR="00AB79D1" w:rsidRPr="00BC215F" w:rsidRDefault="00C44FBD" w:rsidP="00BC215F">
      <w:pPr>
        <w:spacing w:before="120" w:after="120"/>
        <w:jc w:val="center"/>
        <w:rPr>
          <w:rFonts w:ascii="Times New Roman" w:hAnsi="Times New Roman" w:cs="Times New Roman"/>
          <w:sz w:val="24"/>
          <w:szCs w:val="24"/>
        </w:rPr>
      </w:pPr>
      <w:r w:rsidRPr="00BC215F">
        <w:rPr>
          <w:rFonts w:ascii="Times New Roman" w:hAnsi="Times New Roman" w:cs="Times New Roman"/>
          <w:b/>
          <w:bCs/>
          <w:sz w:val="24"/>
          <w:szCs w:val="24"/>
        </w:rPr>
        <w:t>Esošo starojuma aizsardzības durvju demontāža un utilizācija un jaunu automātisko starojuma aizsardzības durvju piegāde un montāža lineārā paātrinātāja (LINAC) procedūru telpā (8. kabinets)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AB79D1" w:rsidRPr="00BC215F" w14:paraId="5EBD6C8E" w14:textId="77777777" w:rsidTr="00BC215F">
        <w:tc>
          <w:tcPr>
            <w:tcW w:w="2600" w:type="dxa"/>
            <w:tcMar>
              <w:top w:w="40" w:type="dxa"/>
              <w:left w:w="90" w:type="dxa"/>
              <w:bottom w:w="40" w:type="dxa"/>
              <w:right w:w="90" w:type="dxa"/>
            </w:tcMar>
          </w:tcPr>
          <w:p w14:paraId="3737C3C9"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Pasūtītājs</w:t>
            </w:r>
          </w:p>
        </w:tc>
        <w:tc>
          <w:tcPr>
            <w:tcW w:w="6760" w:type="dxa"/>
            <w:tcMar>
              <w:top w:w="40" w:type="dxa"/>
              <w:left w:w="90" w:type="dxa"/>
              <w:bottom w:w="40" w:type="dxa"/>
              <w:right w:w="90" w:type="dxa"/>
            </w:tcMar>
          </w:tcPr>
          <w:p w14:paraId="715ED926" w14:textId="0C636D16" w:rsidR="00AB79D1" w:rsidRPr="00BC215F" w:rsidRDefault="005B1FFB" w:rsidP="00BC215F">
            <w:pPr>
              <w:spacing w:before="120" w:after="120"/>
              <w:rPr>
                <w:rFonts w:ascii="Times New Roman" w:hAnsi="Times New Roman" w:cs="Times New Roman"/>
                <w:sz w:val="24"/>
                <w:szCs w:val="24"/>
              </w:rPr>
            </w:pPr>
            <w:r w:rsidRPr="00BC215F">
              <w:rPr>
                <w:rFonts w:ascii="Times New Roman" w:hAnsi="Times New Roman" w:cs="Times New Roman"/>
                <w:b/>
                <w:sz w:val="24"/>
                <w:szCs w:val="24"/>
              </w:rPr>
              <w:t>SIA „Rīgas Austrumu klīniskā universitātes slimnīca”</w:t>
            </w:r>
            <w:r w:rsidRPr="00BC215F">
              <w:rPr>
                <w:rFonts w:ascii="Times New Roman" w:hAnsi="Times New Roman" w:cs="Times New Roman"/>
                <w:sz w:val="24"/>
                <w:szCs w:val="24"/>
              </w:rPr>
              <w:t>, reģistrācijas Nr. 40003951628, juridiskā adrese Hipokrāta ielā 2, Rīgā, LV-1079 (turpmāk – Pasūtītājs)</w:t>
            </w:r>
          </w:p>
        </w:tc>
      </w:tr>
      <w:tr w:rsidR="00AB79D1" w:rsidRPr="00BC215F" w14:paraId="7052AAD7" w14:textId="77777777" w:rsidTr="00BC215F">
        <w:tc>
          <w:tcPr>
            <w:tcW w:w="2600" w:type="dxa"/>
            <w:tcMar>
              <w:top w:w="40" w:type="dxa"/>
              <w:left w:w="90" w:type="dxa"/>
              <w:bottom w:w="40" w:type="dxa"/>
              <w:right w:w="90" w:type="dxa"/>
            </w:tcMar>
          </w:tcPr>
          <w:p w14:paraId="23FA7734"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Objekts / adrese</w:t>
            </w:r>
          </w:p>
        </w:tc>
        <w:tc>
          <w:tcPr>
            <w:tcW w:w="6760" w:type="dxa"/>
            <w:tcMar>
              <w:top w:w="40" w:type="dxa"/>
              <w:left w:w="90" w:type="dxa"/>
              <w:bottom w:w="40" w:type="dxa"/>
              <w:right w:w="90" w:type="dxa"/>
            </w:tcMar>
          </w:tcPr>
          <w:p w14:paraId="5ABBC3C8" w14:textId="05496AEC"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Onkoloģijas klīnikas LINAC bunkurs, 8. kabinets</w:t>
            </w:r>
            <w:r w:rsidR="005B1FFB" w:rsidRPr="00BC215F">
              <w:rPr>
                <w:rFonts w:ascii="Times New Roman" w:hAnsi="Times New Roman" w:cs="Times New Roman"/>
                <w:sz w:val="24"/>
                <w:szCs w:val="24"/>
              </w:rPr>
              <w:t>, Hipokrātā iela 4</w:t>
            </w:r>
          </w:p>
        </w:tc>
      </w:tr>
    </w:tbl>
    <w:p w14:paraId="5BD8E1F1" w14:textId="77777777" w:rsidR="00AB79D1" w:rsidRPr="00BC215F" w:rsidRDefault="00AB79D1" w:rsidP="00BC215F">
      <w:pPr>
        <w:spacing w:before="120" w:after="120"/>
        <w:jc w:val="both"/>
        <w:rPr>
          <w:rFonts w:ascii="Times New Roman" w:hAnsi="Times New Roman" w:cs="Times New Roman"/>
          <w:sz w:val="24"/>
          <w:szCs w:val="24"/>
        </w:rPr>
      </w:pPr>
    </w:p>
    <w:p w14:paraId="2A60C793" w14:textId="105A4390"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1. Vispārīgā informācija</w:t>
      </w:r>
    </w:p>
    <w:p w14:paraId="5DD510E4"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1.1. Iepirkuma priekšmets</w:t>
      </w:r>
    </w:p>
    <w:p w14:paraId="51F5E766"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 xml:space="preserve">Iepirkuma priekšmets ir esošo starojuma aizsardzības (radiācijas </w:t>
      </w:r>
      <w:proofErr w:type="spellStart"/>
      <w:r w:rsidRPr="00BC215F">
        <w:rPr>
          <w:rFonts w:ascii="Times New Roman" w:hAnsi="Times New Roman" w:cs="Times New Roman"/>
          <w:sz w:val="24"/>
          <w:szCs w:val="24"/>
        </w:rPr>
        <w:t>aizsargdurvju</w:t>
      </w:r>
      <w:proofErr w:type="spellEnd"/>
      <w:r w:rsidRPr="00BC215F">
        <w:rPr>
          <w:rFonts w:ascii="Times New Roman" w:hAnsi="Times New Roman" w:cs="Times New Roman"/>
          <w:sz w:val="24"/>
          <w:szCs w:val="24"/>
        </w:rPr>
        <w:t>) demontāža un utilizācija un jaunu automātisko starojuma aizsardzības bīdāmo durvju izgatavošana, piegāde, montāža, pieslēgšana un iestatīšana lineārā paātrinātāja (LINAC) procedūru telpā (8. kabinets).</w:t>
      </w:r>
    </w:p>
    <w:p w14:paraId="61BB1576"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1.2. Objekta raksturojums</w:t>
      </w:r>
    </w:p>
    <w:p w14:paraId="61332ECD"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Durvis atrodas darbojošās ārstniecības iestādes onkoloģijas klīnikas lineārā paātrinātāja bunkura labirinta ieejā. Telpa ir jonizējošā starojuma kontrolējamā zona. Visi darbi jāorganizē tā, lai netiktu traucēta klīnikas darbība un tiktu ievērotas radiācijas drošības, darba aizsardzības un higiēnas prasības.</w:t>
      </w:r>
    </w:p>
    <w:p w14:paraId="03974DA3"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1.3. Darbu mērķis</w:t>
      </w:r>
    </w:p>
    <w:p w14:paraId="5E8A0D8D"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Nomainīt esošās starojuma aizsardzības durvis pret jaunām, nodrošinot personāla aizsardzību pret jonizējošo starojumu atbilstoši aprēķinu pamatojumam (Pielikums Nr. 1) un mūsdienīgu, drošu, automātisku durvju darbību.</w:t>
      </w:r>
    </w:p>
    <w:p w14:paraId="7136C1EC"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1.4. Saīsinājumi</w:t>
      </w:r>
    </w:p>
    <w:p w14:paraId="5CBA638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LINAC – lineārais (medicīnas) paātrinātājs;</w:t>
      </w:r>
    </w:p>
    <w:p w14:paraId="758A4348"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proofErr w:type="spellStart"/>
      <w:r w:rsidRPr="00BC215F">
        <w:rPr>
          <w:rFonts w:ascii="Times New Roman" w:hAnsi="Times New Roman" w:cs="Times New Roman"/>
          <w:sz w:val="24"/>
          <w:szCs w:val="24"/>
        </w:rPr>
        <w:t>Pb</w:t>
      </w:r>
      <w:proofErr w:type="spellEnd"/>
      <w:r w:rsidRPr="00BC215F">
        <w:rPr>
          <w:rFonts w:ascii="Times New Roman" w:hAnsi="Times New Roman" w:cs="Times New Roman"/>
          <w:sz w:val="24"/>
          <w:szCs w:val="24"/>
        </w:rPr>
        <w:t xml:space="preserve"> – svins; BPE – borēts polietilēns (neitronu aizsardzība);</w:t>
      </w:r>
    </w:p>
    <w:p w14:paraId="5444154B"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TVL – desmitkārtīgas pavājināšanās slānis; </w:t>
      </w:r>
      <w:proofErr w:type="spellStart"/>
      <w:r w:rsidRPr="00BC215F">
        <w:rPr>
          <w:rFonts w:ascii="Times New Roman" w:hAnsi="Times New Roman" w:cs="Times New Roman"/>
          <w:sz w:val="24"/>
          <w:szCs w:val="24"/>
        </w:rPr>
        <w:t>μSv</w:t>
      </w:r>
      <w:proofErr w:type="spellEnd"/>
      <w:r w:rsidRPr="00BC215F">
        <w:rPr>
          <w:rFonts w:ascii="Times New Roman" w:hAnsi="Times New Roman" w:cs="Times New Roman"/>
          <w:sz w:val="24"/>
          <w:szCs w:val="24"/>
        </w:rPr>
        <w:t xml:space="preserve"> / </w:t>
      </w:r>
      <w:proofErr w:type="spellStart"/>
      <w:r w:rsidRPr="00BC215F">
        <w:rPr>
          <w:rFonts w:ascii="Times New Roman" w:hAnsi="Times New Roman" w:cs="Times New Roman"/>
          <w:sz w:val="24"/>
          <w:szCs w:val="24"/>
        </w:rPr>
        <w:t>mSv</w:t>
      </w:r>
      <w:proofErr w:type="spellEnd"/>
      <w:r w:rsidRPr="00BC215F">
        <w:rPr>
          <w:rFonts w:ascii="Times New Roman" w:hAnsi="Times New Roman" w:cs="Times New Roman"/>
          <w:sz w:val="24"/>
          <w:szCs w:val="24"/>
        </w:rPr>
        <w:t xml:space="preserve"> – mikro-/</w:t>
      </w:r>
      <w:proofErr w:type="spellStart"/>
      <w:r w:rsidRPr="00BC215F">
        <w:rPr>
          <w:rFonts w:ascii="Times New Roman" w:hAnsi="Times New Roman" w:cs="Times New Roman"/>
          <w:sz w:val="24"/>
          <w:szCs w:val="24"/>
        </w:rPr>
        <w:t>milisīverts</w:t>
      </w:r>
      <w:proofErr w:type="spellEnd"/>
      <w:r w:rsidRPr="00BC215F">
        <w:rPr>
          <w:rFonts w:ascii="Times New Roman" w:hAnsi="Times New Roman" w:cs="Times New Roman"/>
          <w:sz w:val="24"/>
          <w:szCs w:val="24"/>
        </w:rPr>
        <w:t>;</w:t>
      </w:r>
    </w:p>
    <w:p w14:paraId="52F1CD10"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Kontrolējamā zona – jonizējošā starojuma kontrolējama telpa; RDE – radiācijas drošības eksperts.</w:t>
      </w:r>
    </w:p>
    <w:p w14:paraId="2154D174"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1.5. Normatīvais un projektēšanas pamats</w:t>
      </w:r>
    </w:p>
    <w:p w14:paraId="4DF42588"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Darbi veicami saskaņā ar spēkā esošajiem Latvijas Republikas normatīvajiem aktiem par aizsardzību pret jonizējošo starojumu, būvniecību, darba aizsardzību, elektrodrošību un atkritumu apsaimniekošanu, kā arī saskaņā ar aizsardzības aprēķina pamatojumu (Pielikums Nr. 1).</w:t>
      </w:r>
    </w:p>
    <w:p w14:paraId="2A50BCCE"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lastRenderedPageBreak/>
        <w:t>2. Esošās situācijas raksturojums</w:t>
      </w:r>
    </w:p>
    <w:p w14:paraId="766801F9"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Zināmie esošo durvju parametri (izmēri un provizoriskais svars):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B79D1" w:rsidRPr="00BC215F" w14:paraId="69BDF36B" w14:textId="77777777" w:rsidTr="008F649F">
        <w:trPr>
          <w:tblHeader/>
        </w:trPr>
        <w:tc>
          <w:tcPr>
            <w:tcW w:w="4680" w:type="dxa"/>
            <w:tcMar>
              <w:top w:w="40" w:type="dxa"/>
              <w:left w:w="90" w:type="dxa"/>
              <w:bottom w:w="40" w:type="dxa"/>
              <w:right w:w="90" w:type="dxa"/>
            </w:tcMar>
          </w:tcPr>
          <w:p w14:paraId="0F20B72E"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Parametrs</w:t>
            </w:r>
          </w:p>
        </w:tc>
        <w:tc>
          <w:tcPr>
            <w:tcW w:w="4680" w:type="dxa"/>
            <w:tcMar>
              <w:top w:w="40" w:type="dxa"/>
              <w:left w:w="90" w:type="dxa"/>
              <w:bottom w:w="40" w:type="dxa"/>
              <w:right w:w="90" w:type="dxa"/>
            </w:tcMar>
          </w:tcPr>
          <w:p w14:paraId="75200DCA"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Vērtība</w:t>
            </w:r>
          </w:p>
        </w:tc>
      </w:tr>
      <w:tr w:rsidR="00AB79D1" w:rsidRPr="00BC215F" w14:paraId="248C8A1A" w14:textId="77777777" w:rsidTr="008F649F">
        <w:tc>
          <w:tcPr>
            <w:tcW w:w="4680" w:type="dxa"/>
            <w:tcMar>
              <w:top w:w="40" w:type="dxa"/>
              <w:left w:w="90" w:type="dxa"/>
              <w:bottom w:w="40" w:type="dxa"/>
              <w:right w:w="90" w:type="dxa"/>
            </w:tcMar>
          </w:tcPr>
          <w:p w14:paraId="37304596"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Ejas aile (gaismā)</w:t>
            </w:r>
          </w:p>
        </w:tc>
        <w:tc>
          <w:tcPr>
            <w:tcW w:w="4680" w:type="dxa"/>
            <w:tcMar>
              <w:top w:w="40" w:type="dxa"/>
              <w:left w:w="90" w:type="dxa"/>
              <w:bottom w:w="40" w:type="dxa"/>
              <w:right w:w="90" w:type="dxa"/>
            </w:tcMar>
          </w:tcPr>
          <w:p w14:paraId="51EA4CAE"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~130 cm (platums) × 215 cm (augstums)</w:t>
            </w:r>
          </w:p>
        </w:tc>
      </w:tr>
      <w:tr w:rsidR="00AB79D1" w:rsidRPr="00BC215F" w14:paraId="17E173B2" w14:textId="77777777" w:rsidTr="008F649F">
        <w:tc>
          <w:tcPr>
            <w:tcW w:w="4680" w:type="dxa"/>
            <w:tcMar>
              <w:top w:w="40" w:type="dxa"/>
              <w:left w:w="90" w:type="dxa"/>
              <w:bottom w:w="40" w:type="dxa"/>
              <w:right w:w="90" w:type="dxa"/>
            </w:tcMar>
          </w:tcPr>
          <w:p w14:paraId="3E9AC796"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Durvju vērtne</w:t>
            </w:r>
          </w:p>
        </w:tc>
        <w:tc>
          <w:tcPr>
            <w:tcW w:w="4680" w:type="dxa"/>
            <w:tcMar>
              <w:top w:w="40" w:type="dxa"/>
              <w:left w:w="90" w:type="dxa"/>
              <w:bottom w:w="40" w:type="dxa"/>
              <w:right w:w="90" w:type="dxa"/>
            </w:tcMar>
          </w:tcPr>
          <w:p w14:paraId="52E78B8D"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~160 cm (platums) × 230 cm (augstums)</w:t>
            </w:r>
          </w:p>
        </w:tc>
      </w:tr>
      <w:tr w:rsidR="00AB79D1" w:rsidRPr="00BC215F" w14:paraId="37CA7CAE" w14:textId="77777777" w:rsidTr="008F649F">
        <w:tc>
          <w:tcPr>
            <w:tcW w:w="4680" w:type="dxa"/>
            <w:tcMar>
              <w:top w:w="40" w:type="dxa"/>
              <w:left w:w="90" w:type="dxa"/>
              <w:bottom w:w="40" w:type="dxa"/>
              <w:right w:w="90" w:type="dxa"/>
            </w:tcMar>
          </w:tcPr>
          <w:p w14:paraId="3F20347A"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Provizoriskais svars</w:t>
            </w:r>
          </w:p>
        </w:tc>
        <w:tc>
          <w:tcPr>
            <w:tcW w:w="4680" w:type="dxa"/>
            <w:tcMar>
              <w:top w:w="40" w:type="dxa"/>
              <w:left w:w="90" w:type="dxa"/>
              <w:bottom w:w="40" w:type="dxa"/>
              <w:right w:w="90" w:type="dxa"/>
            </w:tcMar>
          </w:tcPr>
          <w:p w14:paraId="518A0ABB"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~4700 kg</w:t>
            </w:r>
          </w:p>
        </w:tc>
      </w:tr>
    </w:tbl>
    <w:p w14:paraId="6E1DE365"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i/>
          <w:iCs/>
          <w:sz w:val="24"/>
          <w:szCs w:val="24"/>
        </w:rPr>
        <w:t>Piezīme: faktiskie izmēri un svars pirms darbu uzsākšanas Izpildītājam jāpārbauda (jāuzmēra) uz vietas.</w:t>
      </w:r>
    </w:p>
    <w:p w14:paraId="0BA97EC6"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3. Darbu apjoms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AB79D1" w:rsidRPr="00BC215F" w14:paraId="68D42590" w14:textId="77777777" w:rsidTr="008F649F">
        <w:trPr>
          <w:tblHeader/>
        </w:trPr>
        <w:tc>
          <w:tcPr>
            <w:tcW w:w="700" w:type="dxa"/>
            <w:tcMar>
              <w:top w:w="40" w:type="dxa"/>
              <w:left w:w="90" w:type="dxa"/>
              <w:bottom w:w="40" w:type="dxa"/>
              <w:right w:w="90" w:type="dxa"/>
            </w:tcMar>
          </w:tcPr>
          <w:p w14:paraId="007126C2"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Nr.</w:t>
            </w:r>
          </w:p>
        </w:tc>
        <w:tc>
          <w:tcPr>
            <w:tcW w:w="8660" w:type="dxa"/>
            <w:tcMar>
              <w:top w:w="40" w:type="dxa"/>
              <w:left w:w="90" w:type="dxa"/>
              <w:bottom w:w="40" w:type="dxa"/>
              <w:right w:w="90" w:type="dxa"/>
            </w:tcMar>
          </w:tcPr>
          <w:p w14:paraId="0FE89621"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Darba pozīcija</w:t>
            </w:r>
          </w:p>
        </w:tc>
      </w:tr>
      <w:tr w:rsidR="00AB79D1" w:rsidRPr="00BC215F" w14:paraId="68ABB8E2" w14:textId="77777777" w:rsidTr="008F649F">
        <w:tc>
          <w:tcPr>
            <w:tcW w:w="700" w:type="dxa"/>
            <w:tcMar>
              <w:top w:w="40" w:type="dxa"/>
              <w:left w:w="90" w:type="dxa"/>
              <w:bottom w:w="40" w:type="dxa"/>
              <w:right w:w="90" w:type="dxa"/>
            </w:tcMar>
          </w:tcPr>
          <w:p w14:paraId="2DB1E5C9"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3.1.</w:t>
            </w:r>
          </w:p>
        </w:tc>
        <w:tc>
          <w:tcPr>
            <w:tcW w:w="8660" w:type="dxa"/>
            <w:tcMar>
              <w:top w:w="40" w:type="dxa"/>
              <w:left w:w="90" w:type="dxa"/>
              <w:bottom w:w="40" w:type="dxa"/>
              <w:right w:w="90" w:type="dxa"/>
            </w:tcMar>
          </w:tcPr>
          <w:p w14:paraId="1CC9115C"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Veco durvju un to mehānismu demontāža – kā viens veselums (bez fragmentēšanas).</w:t>
            </w:r>
          </w:p>
        </w:tc>
      </w:tr>
      <w:tr w:rsidR="00AB79D1" w:rsidRPr="00BC215F" w14:paraId="6273E5A5" w14:textId="77777777" w:rsidTr="008F649F">
        <w:tc>
          <w:tcPr>
            <w:tcW w:w="700" w:type="dxa"/>
            <w:tcMar>
              <w:top w:w="40" w:type="dxa"/>
              <w:left w:w="90" w:type="dxa"/>
              <w:bottom w:w="40" w:type="dxa"/>
              <w:right w:w="90" w:type="dxa"/>
            </w:tcMar>
          </w:tcPr>
          <w:p w14:paraId="1EE0945D"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3.2.</w:t>
            </w:r>
          </w:p>
        </w:tc>
        <w:tc>
          <w:tcPr>
            <w:tcW w:w="8660" w:type="dxa"/>
            <w:tcMar>
              <w:top w:w="40" w:type="dxa"/>
              <w:left w:w="90" w:type="dxa"/>
              <w:bottom w:w="40" w:type="dxa"/>
              <w:right w:w="90" w:type="dxa"/>
            </w:tcMar>
          </w:tcPr>
          <w:p w14:paraId="28A87A98"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Veco durvju pārvietošana, transportēšana un utilizācija atbilstoši normatīviem.</w:t>
            </w:r>
          </w:p>
        </w:tc>
      </w:tr>
      <w:tr w:rsidR="00AB79D1" w:rsidRPr="00BC215F" w14:paraId="13559E9A" w14:textId="77777777" w:rsidTr="008F649F">
        <w:tc>
          <w:tcPr>
            <w:tcW w:w="700" w:type="dxa"/>
            <w:tcMar>
              <w:top w:w="40" w:type="dxa"/>
              <w:left w:w="90" w:type="dxa"/>
              <w:bottom w:w="40" w:type="dxa"/>
              <w:right w:w="90" w:type="dxa"/>
            </w:tcMar>
          </w:tcPr>
          <w:p w14:paraId="133DCF46"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3.3.</w:t>
            </w:r>
          </w:p>
        </w:tc>
        <w:tc>
          <w:tcPr>
            <w:tcW w:w="8660" w:type="dxa"/>
            <w:tcMar>
              <w:top w:w="40" w:type="dxa"/>
              <w:left w:w="90" w:type="dxa"/>
              <w:bottom w:w="40" w:type="dxa"/>
              <w:right w:w="90" w:type="dxa"/>
            </w:tcMar>
          </w:tcPr>
          <w:p w14:paraId="45456C39"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Ailes un </w:t>
            </w:r>
            <w:proofErr w:type="spellStart"/>
            <w:r w:rsidRPr="00BC215F">
              <w:rPr>
                <w:rFonts w:ascii="Times New Roman" w:hAnsi="Times New Roman" w:cs="Times New Roman"/>
                <w:sz w:val="24"/>
                <w:szCs w:val="24"/>
              </w:rPr>
              <w:t>pieslēgumu</w:t>
            </w:r>
            <w:proofErr w:type="spellEnd"/>
            <w:r w:rsidRPr="00BC215F">
              <w:rPr>
                <w:rFonts w:ascii="Times New Roman" w:hAnsi="Times New Roman" w:cs="Times New Roman"/>
                <w:sz w:val="24"/>
                <w:szCs w:val="24"/>
              </w:rPr>
              <w:t xml:space="preserve"> (nesošo konstrukciju, elektroapgādes) sagatavošana jaunām durvīm.</w:t>
            </w:r>
          </w:p>
        </w:tc>
      </w:tr>
      <w:tr w:rsidR="00AB79D1" w:rsidRPr="00BC215F" w14:paraId="29EA9910" w14:textId="77777777" w:rsidTr="008F649F">
        <w:tc>
          <w:tcPr>
            <w:tcW w:w="700" w:type="dxa"/>
            <w:tcMar>
              <w:top w:w="40" w:type="dxa"/>
              <w:left w:w="90" w:type="dxa"/>
              <w:bottom w:w="40" w:type="dxa"/>
              <w:right w:w="90" w:type="dxa"/>
            </w:tcMar>
          </w:tcPr>
          <w:p w14:paraId="56B22FE5"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3.4.</w:t>
            </w:r>
          </w:p>
        </w:tc>
        <w:tc>
          <w:tcPr>
            <w:tcW w:w="8660" w:type="dxa"/>
            <w:tcMar>
              <w:top w:w="40" w:type="dxa"/>
              <w:left w:w="90" w:type="dxa"/>
              <w:bottom w:w="40" w:type="dxa"/>
              <w:right w:w="90" w:type="dxa"/>
            </w:tcMar>
          </w:tcPr>
          <w:p w14:paraId="0CE435A4"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Jaunu automātisko starojuma aizsardzības durvju izgatavošana un piegāde.</w:t>
            </w:r>
          </w:p>
        </w:tc>
      </w:tr>
      <w:tr w:rsidR="00AB79D1" w:rsidRPr="00BC215F" w14:paraId="1A41F1E7" w14:textId="77777777" w:rsidTr="008F649F">
        <w:tc>
          <w:tcPr>
            <w:tcW w:w="700" w:type="dxa"/>
            <w:tcMar>
              <w:top w:w="40" w:type="dxa"/>
              <w:left w:w="90" w:type="dxa"/>
              <w:bottom w:w="40" w:type="dxa"/>
              <w:right w:w="90" w:type="dxa"/>
            </w:tcMar>
          </w:tcPr>
          <w:p w14:paraId="27FED567"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3.5.</w:t>
            </w:r>
          </w:p>
        </w:tc>
        <w:tc>
          <w:tcPr>
            <w:tcW w:w="8660" w:type="dxa"/>
            <w:tcMar>
              <w:top w:w="40" w:type="dxa"/>
              <w:left w:w="90" w:type="dxa"/>
              <w:bottom w:w="40" w:type="dxa"/>
              <w:right w:w="90" w:type="dxa"/>
            </w:tcMar>
          </w:tcPr>
          <w:p w14:paraId="764D9B0B"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Montāža, automātikas pieslēgšana, regulēšana un integrācija ar LINAC drošības blokādi.</w:t>
            </w:r>
          </w:p>
        </w:tc>
      </w:tr>
      <w:tr w:rsidR="00AB79D1" w:rsidRPr="00BC215F" w14:paraId="3B387EB7" w14:textId="77777777" w:rsidTr="008F649F">
        <w:tc>
          <w:tcPr>
            <w:tcW w:w="700" w:type="dxa"/>
            <w:tcMar>
              <w:top w:w="40" w:type="dxa"/>
              <w:left w:w="90" w:type="dxa"/>
              <w:bottom w:w="40" w:type="dxa"/>
              <w:right w:w="90" w:type="dxa"/>
            </w:tcMar>
          </w:tcPr>
          <w:p w14:paraId="6EE9FCF6"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3.6.</w:t>
            </w:r>
          </w:p>
        </w:tc>
        <w:tc>
          <w:tcPr>
            <w:tcW w:w="8660" w:type="dxa"/>
            <w:tcMar>
              <w:top w:w="40" w:type="dxa"/>
              <w:left w:w="90" w:type="dxa"/>
              <w:bottom w:w="40" w:type="dxa"/>
              <w:right w:w="90" w:type="dxa"/>
            </w:tcMar>
          </w:tcPr>
          <w:p w14:paraId="219A659A"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sz w:val="24"/>
                <w:szCs w:val="24"/>
              </w:rPr>
              <w:t>Pārbaudes, radiācijas mērījumi, dokumentācijas nodošana un personāla apmācība.</w:t>
            </w:r>
          </w:p>
        </w:tc>
      </w:tr>
    </w:tbl>
    <w:p w14:paraId="01620E0C"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4. Veco durvju demontāža un utilizācija</w:t>
      </w:r>
    </w:p>
    <w:p w14:paraId="29C1947D"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4.1. Sagatavošanās un radiācijas drošība</w:t>
      </w:r>
    </w:p>
    <w:p w14:paraId="026A46B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Pirms demontāžas radiācijas drošības eksperts veic kontrolējamās zonas un durvju virsmas mērījumus (dozas jauda, virsmas piesārņojums), lai apstiprinātu, ka durvis un to materiāli nav radioaktīvi aktivēti vai piesārņoti un ir atbrīvojami no regulējošās kontroles;</w:t>
      </w:r>
    </w:p>
    <w:p w14:paraId="4228C95E"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darbi saskaņojami ar objekta radiācijas drošības atbildīgo un LINAC iekārtas atbildīgo; iekārtai jābūt izslēgtai/atslēgtai;</w:t>
      </w:r>
    </w:p>
    <w:p w14:paraId="31C1F148"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jāizvērtē pārvietošanas maršruts, grīdu un pārsegumu nestspēja, pacēlāj-/vilkšanas mehānismi (durvju masa ~4700 kg).</w:t>
      </w:r>
    </w:p>
    <w:p w14:paraId="78522CF2"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4.2. Demontāžas prasības</w:t>
      </w:r>
    </w:p>
    <w:p w14:paraId="03933F4C"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Durvis demontējamas un izvedamas </w:t>
      </w:r>
      <w:r w:rsidRPr="00BC215F">
        <w:rPr>
          <w:rFonts w:ascii="Times New Roman" w:hAnsi="Times New Roman" w:cs="Times New Roman"/>
          <w:b/>
          <w:bCs/>
          <w:sz w:val="24"/>
          <w:szCs w:val="24"/>
        </w:rPr>
        <w:t>kā viens veselums</w:t>
      </w:r>
      <w:r w:rsidRPr="00BC215F">
        <w:rPr>
          <w:rFonts w:ascii="Times New Roman" w:hAnsi="Times New Roman" w:cs="Times New Roman"/>
          <w:sz w:val="24"/>
          <w:szCs w:val="24"/>
        </w:rPr>
        <w:t xml:space="preserve">. Durvis </w:t>
      </w:r>
      <w:r w:rsidRPr="00BC215F">
        <w:rPr>
          <w:rFonts w:ascii="Times New Roman" w:hAnsi="Times New Roman" w:cs="Times New Roman"/>
          <w:b/>
          <w:bCs/>
          <w:sz w:val="24"/>
          <w:szCs w:val="24"/>
        </w:rPr>
        <w:t>aizliegts</w:t>
      </w:r>
      <w:r w:rsidRPr="00BC215F">
        <w:rPr>
          <w:rFonts w:ascii="Times New Roman" w:hAnsi="Times New Roman" w:cs="Times New Roman"/>
          <w:sz w:val="24"/>
          <w:szCs w:val="24"/>
        </w:rPr>
        <w:t xml:space="preserve"> objektā zāģēt, griezt, urbt vai citādi fragmentēt, jo tās pildītas ar parafīnu un boru (5%);</w:t>
      </w:r>
    </w:p>
    <w:p w14:paraId="42EFF1FE"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uz durvīm </w:t>
      </w:r>
      <w:r w:rsidRPr="00BC215F">
        <w:rPr>
          <w:rFonts w:ascii="Times New Roman" w:hAnsi="Times New Roman" w:cs="Times New Roman"/>
          <w:b/>
          <w:bCs/>
          <w:sz w:val="24"/>
          <w:szCs w:val="24"/>
        </w:rPr>
        <w:t>aizliegti karstie darbi</w:t>
      </w:r>
      <w:r w:rsidRPr="00BC215F">
        <w:rPr>
          <w:rFonts w:ascii="Times New Roman" w:hAnsi="Times New Roman" w:cs="Times New Roman"/>
          <w:sz w:val="24"/>
          <w:szCs w:val="24"/>
        </w:rPr>
        <w:t xml:space="preserve"> (griešana, metināšana, slīpēšana ar dzirksteļošanu) parafīna aizdegšanās/izkušanas riska dēļ;</w:t>
      </w:r>
    </w:p>
    <w:p w14:paraId="0A237DA3"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lastRenderedPageBreak/>
        <w:t>izmantojami durvju masai atbilstoši celšanas/vilkšanas mehānismi ar nepieciešamo slodzes rezervi; jānodrošina slodzes sadale un telpu/konstrukciju aizsardzība;</w:t>
      </w:r>
    </w:p>
    <w:p w14:paraId="0E9779F6"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demontāža jāveic, neradot bojājumus telpas radiācijas aizsardzības konstrukcijām, grīdas segumam un blakus telpām.</w:t>
      </w:r>
    </w:p>
    <w:p w14:paraId="642E7821"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4.3. Transportēšana un utilizācija</w:t>
      </w:r>
    </w:p>
    <w:p w14:paraId="65C378CE"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Durvis nogādājamas licencētā bīstamo atkritumu apsaimniekošanas vietā. Svins ir bīstams atkritums; parafīna/bora pildījums utilizējams atbilstoši normatīvo aktu prasībām;</w:t>
      </w:r>
    </w:p>
    <w:p w14:paraId="16FE697B"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Izpildītājam jānodrošina atbilstoša bīstamo atkritumu pārvadāšanas un apsaimniekošanas atļauja (pašam vai piesaistot apakšuzņēmēju ar attiecīgu atļauju);</w:t>
      </w:r>
    </w:p>
    <w:p w14:paraId="392143B7"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jāiesniedz utilizācijas/nodošanas apliecinājumi (svara kvītis, atkritumu nodošanas–pieņemšanas dokumenti);</w:t>
      </w:r>
    </w:p>
    <w:p w14:paraId="4C2F8784"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Pretendentam jāpieaicina sertificēts būvinženieris, lai aprēķinātu slodzes izkliedēšanu uz transportēšanas ceļa, tā lai transportēšana neradītu bojājumus esošajām grīdām.</w:t>
      </w:r>
    </w:p>
    <w:p w14:paraId="566EAA18"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5. Jauno durvju tehniskās prasības</w:t>
      </w:r>
    </w:p>
    <w:p w14:paraId="6E803E12"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5.1. Tips un aizsardzības konstrukcija</w:t>
      </w:r>
    </w:p>
    <w:p w14:paraId="48DA3332"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Automātiskas motorizētas bīdāmās starojuma aizsardzības durvis (analoģiski esošo durvju principam);</w:t>
      </w:r>
    </w:p>
    <w:p w14:paraId="75EAEC56"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Aizsardzības slāņu minimālais sastāvs saskaņā ar aprēķinu pamatojumu (Pielikums Nr. 1): </w:t>
      </w:r>
      <w:r w:rsidRPr="00BC215F">
        <w:rPr>
          <w:rFonts w:ascii="Times New Roman" w:hAnsi="Times New Roman" w:cs="Times New Roman"/>
          <w:b/>
          <w:bCs/>
          <w:sz w:val="24"/>
          <w:szCs w:val="24"/>
        </w:rPr>
        <w:t xml:space="preserve">2 mm tērauds – 3 mm </w:t>
      </w:r>
      <w:proofErr w:type="spellStart"/>
      <w:r w:rsidRPr="00BC215F">
        <w:rPr>
          <w:rFonts w:ascii="Times New Roman" w:hAnsi="Times New Roman" w:cs="Times New Roman"/>
          <w:b/>
          <w:bCs/>
          <w:sz w:val="24"/>
          <w:szCs w:val="24"/>
        </w:rPr>
        <w:t>Pb</w:t>
      </w:r>
      <w:proofErr w:type="spellEnd"/>
      <w:r w:rsidRPr="00BC215F">
        <w:rPr>
          <w:rFonts w:ascii="Times New Roman" w:hAnsi="Times New Roman" w:cs="Times New Roman"/>
          <w:b/>
          <w:bCs/>
          <w:sz w:val="24"/>
          <w:szCs w:val="24"/>
        </w:rPr>
        <w:t xml:space="preserve"> – 90 mm BPE – 3 mm </w:t>
      </w:r>
      <w:proofErr w:type="spellStart"/>
      <w:r w:rsidRPr="00BC215F">
        <w:rPr>
          <w:rFonts w:ascii="Times New Roman" w:hAnsi="Times New Roman" w:cs="Times New Roman"/>
          <w:b/>
          <w:bCs/>
          <w:sz w:val="24"/>
          <w:szCs w:val="24"/>
        </w:rPr>
        <w:t>Pb</w:t>
      </w:r>
      <w:proofErr w:type="spellEnd"/>
      <w:r w:rsidRPr="00BC215F">
        <w:rPr>
          <w:rFonts w:ascii="Times New Roman" w:hAnsi="Times New Roman" w:cs="Times New Roman"/>
          <w:b/>
          <w:bCs/>
          <w:sz w:val="24"/>
          <w:szCs w:val="24"/>
        </w:rPr>
        <w:t xml:space="preserve"> – 2 mm tērauds</w:t>
      </w:r>
      <w:r w:rsidRPr="00BC215F">
        <w:rPr>
          <w:rFonts w:ascii="Times New Roman" w:hAnsi="Times New Roman" w:cs="Times New Roman"/>
          <w:sz w:val="24"/>
          <w:szCs w:val="24"/>
        </w:rPr>
        <w:t>, vai ražotāja aprēķinā pamatots ekvivalents vai labāks risinājums;</w:t>
      </w:r>
    </w:p>
    <w:p w14:paraId="5079A404"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Durvīm jānodrošina jonizējošā starojuma pavājinājums tā, lai personāla gada doza pie durvīm nepārsniegtu projektā noteikto mērķa vērtību </w:t>
      </w:r>
      <w:r w:rsidRPr="00BC215F">
        <w:rPr>
          <w:rFonts w:ascii="Times New Roman" w:hAnsi="Times New Roman" w:cs="Times New Roman"/>
          <w:b/>
          <w:bCs/>
          <w:sz w:val="24"/>
          <w:szCs w:val="24"/>
        </w:rPr>
        <w:t xml:space="preserve">≤ 1 </w:t>
      </w:r>
      <w:proofErr w:type="spellStart"/>
      <w:r w:rsidRPr="00BC215F">
        <w:rPr>
          <w:rFonts w:ascii="Times New Roman" w:hAnsi="Times New Roman" w:cs="Times New Roman"/>
          <w:b/>
          <w:bCs/>
          <w:sz w:val="24"/>
          <w:szCs w:val="24"/>
        </w:rPr>
        <w:t>mSv</w:t>
      </w:r>
      <w:proofErr w:type="spellEnd"/>
      <w:r w:rsidRPr="00BC215F">
        <w:rPr>
          <w:rFonts w:ascii="Times New Roman" w:hAnsi="Times New Roman" w:cs="Times New Roman"/>
          <w:b/>
          <w:bCs/>
          <w:sz w:val="24"/>
          <w:szCs w:val="24"/>
        </w:rPr>
        <w:t>/gadā</w:t>
      </w:r>
      <w:r w:rsidRPr="00BC215F">
        <w:rPr>
          <w:rFonts w:ascii="Times New Roman" w:hAnsi="Times New Roman" w:cs="Times New Roman"/>
          <w:sz w:val="24"/>
          <w:szCs w:val="24"/>
        </w:rPr>
        <w:t xml:space="preserve"> (atbilstoši Pielikuma Nr. 1 barjeras aprēķinam). Pretendentam jāiesniedz aizsardzības aprēķins vai tā apstiprinājums;</w:t>
      </w:r>
    </w:p>
    <w:p w14:paraId="65960232"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materiālu prasības: sertificēts svins un borēts polietilēns ar apliecinātu bora saturu; tērauda apšuvums ar korozijizturīgu, tīrāmu virsmu.</w:t>
      </w:r>
    </w:p>
    <w:p w14:paraId="46DF22B6"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5.2. Izmēri</w:t>
      </w:r>
    </w:p>
    <w:p w14:paraId="79438531" w14:textId="3054F7B6"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Ejas aile (gaismā) ne mazāka par 130 cm (platums) × 215 cm (augstums); vērtnes izmērs pielāgojams ailei (esošā vērtne ~160 × 230 cm);</w:t>
      </w:r>
    </w:p>
    <w:p w14:paraId="2E59AA47"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Izpildītājs pirms izgatavošanas uzmēra faktisko aili un saskaņo izmērus ar Pasūtītāju.</w:t>
      </w:r>
    </w:p>
    <w:p w14:paraId="40E63AD6"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5.3. Automātika, vadība un drošība</w:t>
      </w:r>
    </w:p>
    <w:p w14:paraId="5B6C03CD"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Jaunajām starojuma aizsardzības durvīm jābūt aprīkotām ar automātisku elektromehānisku piedziņas un vadības sistēmu, kas nodrošina drošu, kontrolētu durvju atvēršanu un aizvēršanu, novēršot personas saspiešanas, iespiešanas, ievilkšanas, trieciena un iesprostošanas risku visā durvju kustības zonā.</w:t>
      </w:r>
    </w:p>
    <w:p w14:paraId="59DAA411"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Automātikas, vadības un drošības sistēmai jāatbilst spēkā esošo normatīvo aktu un piemērojamo standartu prasībām, tostarp LVS EN 16005 prasībām, ciktāl tās piemērojamas konkrētajai durvju konstrukcijai, kā arī citu piemērojamo mašīnu, elektrodrošības un funkcionālās drošības standartu prasībām.</w:t>
      </w:r>
    </w:p>
    <w:p w14:paraId="33D4FCCA"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5.3.1. Durvju vadība</w:t>
      </w:r>
    </w:p>
    <w:p w14:paraId="0CF29858"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Durvīm jānodrošina kontrolēta automātiska atvēršana un aizvēršana no bunkura iekšpuses un ārpuses;</w:t>
      </w:r>
    </w:p>
    <w:p w14:paraId="51CB1BF8"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lastRenderedPageBreak/>
        <w:t>Vadības ierīcēm jābūt izvietotām tā, lai operators tās varētu lietot, neatrodoties durvju vērtnes kustības, saspiešanas vai citā bīstamajā zonā;</w:t>
      </w:r>
    </w:p>
    <w:p w14:paraId="77FCD52D"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Vadības ierīcēm jābūt skaidri identificējamām atbilstoši to funkcijai;</w:t>
      </w:r>
    </w:p>
    <w:p w14:paraId="398B289E"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Durvju kustības uzsākšana nedrīkst radīt nekontrolētu vai neparedzamu vērtnes kustību;</w:t>
      </w:r>
    </w:p>
    <w:p w14:paraId="2AA2063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Pēc elektroapgādes atjaunošanās, avārijas apturēšanas ierīces atiestatīšanas vai drošības sistēmas </w:t>
      </w:r>
      <w:proofErr w:type="spellStart"/>
      <w:r w:rsidRPr="00BC215F">
        <w:rPr>
          <w:rFonts w:ascii="Times New Roman" w:hAnsi="Times New Roman" w:cs="Times New Roman"/>
          <w:sz w:val="24"/>
          <w:szCs w:val="24"/>
        </w:rPr>
        <w:t>nostrādes</w:t>
      </w:r>
      <w:proofErr w:type="spellEnd"/>
      <w:r w:rsidRPr="00BC215F">
        <w:rPr>
          <w:rFonts w:ascii="Times New Roman" w:hAnsi="Times New Roman" w:cs="Times New Roman"/>
          <w:sz w:val="24"/>
          <w:szCs w:val="24"/>
        </w:rPr>
        <w:t xml:space="preserve"> durvis nedrīkst automātiski atsākt bīstamu kustību bez attiecīga vadības sistēmas drošības nosacījumu izpildes.</w:t>
      </w:r>
    </w:p>
    <w:p w14:paraId="24D6785A"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5.3.2. Cilvēka klātbūtnes noteikšana</w:t>
      </w:r>
    </w:p>
    <w:p w14:paraId="52D3E9E3"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Durvju sistēmai jābūt aprīkotai ar drošības ierīcēm/sensoriem, kas visā durvju kustības laikā nodrošina personas vai cita šķēršļa noteikšanu bīstamajās zonās.</w:t>
      </w:r>
    </w:p>
    <w:p w14:paraId="26C09776"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Drošības ierīcēm jāaptver vismaz:</w:t>
      </w:r>
    </w:p>
    <w:p w14:paraId="457F5638"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visa durvju aile;</w:t>
      </w:r>
    </w:p>
    <w:p w14:paraId="411B7FB4"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durvju aizvēršanās jeb primārā saspiešanas zona;</w:t>
      </w:r>
    </w:p>
    <w:p w14:paraId="56FF02AB"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durvju vērtnes kustības zona;</w:t>
      </w:r>
    </w:p>
    <w:p w14:paraId="101631A4"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sekundārās saspiešanas, iespiešanas, ievilkšanas vai iesprostošanas zonas, ja tādas veidojas konkrētās konstrukcijas dēļ.</w:t>
      </w:r>
    </w:p>
    <w:p w14:paraId="3E7B1A0C"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Sensoru skaitu, veidu, izvietojumu un uztveršanas laukus nosaka durvju ražotājs/Izpildītājs, pamatojoties uz dokumentētu riska novērtējumu.</w:t>
      </w:r>
    </w:p>
    <w:p w14:paraId="13A3246A"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Drošības sistēmas konstrukcijā nedrīkst palikt bīstamas zonas, kurās persona var atrasties, bet netikt noteikta ar attiecīgajām drošības ierīcēm.</w:t>
      </w:r>
    </w:p>
    <w:p w14:paraId="74B8B91E"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5.3.3. Aizsardzība pret saspiešanu un iespiešanu</w:t>
      </w:r>
    </w:p>
    <w:p w14:paraId="6DA2A018"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Durvju aizvēršanās laikā, drošības sistēmai konstatējot personu vai šķērsli durvju ailē vai citā bīstamajā zonā:</w:t>
      </w:r>
    </w:p>
    <w:p w14:paraId="12E49DA6"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durvju aizvēršanās kustība nedrīkst tikt uzsākta;</w:t>
      </w:r>
    </w:p>
    <w:p w14:paraId="6780B68E"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vai, ja kustība jau ir uzsākta, tai automātiski un droši jāapstājas un/vai durvīm jāatveras atbilstoši ražotāja noteiktajai drošības funkcijai.</w:t>
      </w:r>
    </w:p>
    <w:p w14:paraId="4FE849D7"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 xml:space="preserve">Durvju aizvēršanās malai jābūt nodrošinātai ar atbilstošu </w:t>
      </w:r>
      <w:proofErr w:type="spellStart"/>
      <w:r w:rsidRPr="00BC215F">
        <w:rPr>
          <w:rFonts w:ascii="Times New Roman" w:hAnsi="Times New Roman" w:cs="Times New Roman"/>
          <w:sz w:val="24"/>
          <w:szCs w:val="24"/>
        </w:rPr>
        <w:t>pretiespiešanas</w:t>
      </w:r>
      <w:proofErr w:type="spellEnd"/>
      <w:r w:rsidRPr="00BC215F">
        <w:rPr>
          <w:rFonts w:ascii="Times New Roman" w:hAnsi="Times New Roman" w:cs="Times New Roman"/>
          <w:sz w:val="24"/>
          <w:szCs w:val="24"/>
        </w:rPr>
        <w:t xml:space="preserve"> aizsardzību, ja šāda aizsardzība nepieciešama saskaņā ar riska novērtējumu un piemērojamo standartu prasībām.</w:t>
      </w:r>
    </w:p>
    <w:p w14:paraId="1D65984C"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Durvju konstrukcija, kustības ātrums, piedziņas spēks un drošības ierīču reakcijas parametri jāizvēlas tā, lai durvju ekspluatācijas laikā nepieļautu nepieņemamu personas saspiešanas, iespiešanas, trieciena vai ievilkšanas risku.</w:t>
      </w:r>
    </w:p>
    <w:p w14:paraId="5D905142"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5.3.4. Drošības sistēmas kļūmes</w:t>
      </w:r>
    </w:p>
    <w:p w14:paraId="048A2CEB"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Automātikas un drošības sistēmai jābūt projektētai pēc fail-</w:t>
      </w:r>
      <w:proofErr w:type="spellStart"/>
      <w:r w:rsidRPr="00BC215F">
        <w:rPr>
          <w:rFonts w:ascii="Times New Roman" w:hAnsi="Times New Roman" w:cs="Times New Roman"/>
          <w:sz w:val="24"/>
          <w:szCs w:val="24"/>
        </w:rPr>
        <w:t>safe</w:t>
      </w:r>
      <w:proofErr w:type="spellEnd"/>
      <w:r w:rsidRPr="00BC215F">
        <w:rPr>
          <w:rFonts w:ascii="Times New Roman" w:hAnsi="Times New Roman" w:cs="Times New Roman"/>
          <w:sz w:val="24"/>
          <w:szCs w:val="24"/>
        </w:rPr>
        <w:t xml:space="preserve"> principa.</w:t>
      </w:r>
    </w:p>
    <w:p w14:paraId="43E9E1FA"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Drošības ierīces, sensora, drošības malas, vadības ķēdes vai citas ar personas aizsardzību saistītas sistēmas kļūme nedrīkst izraisīt vai pieļaut bīstamu automātisku durvju kustību.</w:t>
      </w:r>
    </w:p>
    <w:p w14:paraId="7E8F0CE8"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Ja vadības sistēma konstatē drošības funkcijas kļūmi, automātiska durvju aizvēršana ir jābloķē vai durvju kustība jāpārtrauc drošā veidā līdz kļūmes novēršanai atbilstoši ražotāja veiktajam riska novērtējumam.</w:t>
      </w:r>
    </w:p>
    <w:p w14:paraId="50EF1F5C"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Drošības funkciju nepieciešamais drošuma līmenis nosakāms dokumentētā riska novērtējumā. Ja piemērojams, ar drošību saistītās vadības sistēmas daļas projektējamas un validējamas atbilstoši LVS EN ISO 13849-1 un LVS EN ISO 13849-2 vai citam piemērojamam līdzvērtīgam standartam.</w:t>
      </w:r>
    </w:p>
    <w:p w14:paraId="0092E8AA"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lastRenderedPageBreak/>
        <w:t>5.3.5. Durvju kustības signalizācija</w:t>
      </w:r>
    </w:p>
    <w:p w14:paraId="1EF465E0"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Durvju sistēmai jānodrošina nepārprotama durvju stāvokļa un, ja tas nepieciešams saskaņā ar riska novērtējumu, kustības vizuālā un/vai skaņas signalizācija.</w:t>
      </w:r>
    </w:p>
    <w:p w14:paraId="20F50AFC"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Signalizācijai jābūt skaidri uztveramai personām, kuras atrodas durvju tuvumā, un tā nedrīkst aizstāt tehniskās aizsardzības ierīces pret saspiešanu vai iespiešanu.</w:t>
      </w:r>
    </w:p>
    <w:p w14:paraId="73B324E5"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5.3.6. Avārijas apturēšana</w:t>
      </w:r>
    </w:p>
    <w:p w14:paraId="3A9B685B"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Durvju sistēmai jābūt aprīkotai ar avārijas apturēšanas ierīci(-</w:t>
      </w:r>
      <w:proofErr w:type="spellStart"/>
      <w:r w:rsidRPr="00BC215F">
        <w:rPr>
          <w:rFonts w:ascii="Times New Roman" w:hAnsi="Times New Roman" w:cs="Times New Roman"/>
          <w:sz w:val="24"/>
          <w:szCs w:val="24"/>
        </w:rPr>
        <w:t>ēm</w:t>
      </w:r>
      <w:proofErr w:type="spellEnd"/>
      <w:r w:rsidRPr="00BC215F">
        <w:rPr>
          <w:rFonts w:ascii="Times New Roman" w:hAnsi="Times New Roman" w:cs="Times New Roman"/>
          <w:sz w:val="24"/>
          <w:szCs w:val="24"/>
        </w:rPr>
        <w:t>), kuru skaitu un izvietojumu nosaka riska novērtējums.</w:t>
      </w:r>
    </w:p>
    <w:p w14:paraId="76FF305D"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Vismaz viena avārijas apturēšanas ierīce nodrošināma bunkura iekšpusē un arī ārpusē.</w:t>
      </w:r>
    </w:p>
    <w:p w14:paraId="36EF60AA"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Avārijas apturēšanas ierīcei jābūt:</w:t>
      </w:r>
    </w:p>
    <w:p w14:paraId="185C1D6C"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skaidri identificējamai;</w:t>
      </w:r>
    </w:p>
    <w:p w14:paraId="20E16C89"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viegli un ātri sasniedzamai;</w:t>
      </w:r>
    </w:p>
    <w:p w14:paraId="030D955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izvietotai tā, lai tās aktivizēšanai personai nebūtu jāieiet durvju bīstamajā kustības zonā;</w:t>
      </w:r>
    </w:p>
    <w:p w14:paraId="3B280992"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izpildītai atbilstoši piemērojamo normatīvo aktu un standartu prasībām.</w:t>
      </w:r>
    </w:p>
    <w:p w14:paraId="0A03F864"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Pēc avārijas apturēšanas ierīces aktivizēšanas durvju bīstamā kustība nekavējoties jāpārtrauc.</w:t>
      </w:r>
    </w:p>
    <w:p w14:paraId="555CD058"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Avārijas apturēšanas ierīces atiestatīšana pati par sevi nedrīkst izraisīt durvju kustības automātisku atsākšanos.</w:t>
      </w:r>
    </w:p>
    <w:p w14:paraId="64B1ACC3"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5.3.7. Elektroapgādes pārtraukums un avārijas atvēršana</w:t>
      </w:r>
    </w:p>
    <w:p w14:paraId="0F3DAB28"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Elektroapgādes pārtraukuma, piedziņas vai vadības sistēmas bojājuma gadījumā jānodrošina iespēja personai droši izkļūt no LINAC bunkura.</w:t>
      </w:r>
    </w:p>
    <w:p w14:paraId="4BDBC9BD"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Izpildītājam jāparedz tehnisks risinājums — rezerves barošana, UPS, manuāla avārijas atvēršanas sistēma vai cits ražotāja pamatots risinājums — kas nodrošina durvju drošu atvēršanu avārijas situācijā.</w:t>
      </w:r>
    </w:p>
    <w:p w14:paraId="49D737F1"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Manuālajai avārijas atvēršanai jābūt iespējami veicamai no pults telpas, un tās izmantošanai nedrīkst būt nepieciešama personas atrašanās durvju kustības vai saspiešanas zonā.</w:t>
      </w:r>
    </w:p>
    <w:p w14:paraId="608A020C"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Izpildītājam jāiesniedz avārijas atvēršanas procedūra un jādemonstrē tās darbība durvju pieņemšanas pārbaudē.</w:t>
      </w:r>
    </w:p>
    <w:p w14:paraId="297D7CF9"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5.3.8. Riska novērtējums un drošības funkciju apliecināšana</w:t>
      </w:r>
    </w:p>
    <w:p w14:paraId="4E30248A"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Pirms durvju nodošanas ekspluatācijā Izpildītājam jāiesniedz Pasūtītājam dokumentēts durvju sistēmas riska novērtējums, kurā identificēti vismaz:</w:t>
      </w:r>
    </w:p>
    <w:p w14:paraId="27F691E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saspiešanas riski;</w:t>
      </w:r>
    </w:p>
    <w:p w14:paraId="39494276"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iespiešanas riski;</w:t>
      </w:r>
    </w:p>
    <w:p w14:paraId="4A876B07"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ievilkšanas/ievēršanas riski;</w:t>
      </w:r>
    </w:p>
    <w:p w14:paraId="4821D44B"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trieciena riski;</w:t>
      </w:r>
    </w:p>
    <w:p w14:paraId="54DA1889"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iesprostošanas riski;</w:t>
      </w:r>
    </w:p>
    <w:p w14:paraId="4DEC3110"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nekontrolētas durvju kustības risks;</w:t>
      </w:r>
    </w:p>
    <w:p w14:paraId="7922FEDD"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elektroapgādes pārtraukuma risks;</w:t>
      </w:r>
    </w:p>
    <w:p w14:paraId="4E984C23"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vadības un drošības sistēmas atteices riski.</w:t>
      </w:r>
    </w:p>
    <w:p w14:paraId="43ADAB43"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Izpildītājam dokumentāri jāapliecina, ka paredzētās tehniskās aizsardzības ierīces un vadības sistēma nodrošina identificēto risku novēršanu vai samazināšanu līdz pieļaujamam līmenim.</w:t>
      </w:r>
    </w:p>
    <w:p w14:paraId="78900D4B"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lastRenderedPageBreak/>
        <w:t>Drošības funkciju darbība obligāti pārbaudāma un dokumentējama durvju nodošanas/pieņemšanas pārbaudēs.</w:t>
      </w:r>
    </w:p>
    <w:p w14:paraId="495ADBEC" w14:textId="77777777" w:rsidR="00AB79D1" w:rsidRPr="00BC215F" w:rsidRDefault="00C44FBD" w:rsidP="00BC215F">
      <w:pPr>
        <w:spacing w:before="120" w:after="120"/>
        <w:rPr>
          <w:rFonts w:ascii="Times New Roman" w:hAnsi="Times New Roman" w:cs="Times New Roman"/>
          <w:sz w:val="24"/>
          <w:szCs w:val="24"/>
        </w:rPr>
      </w:pPr>
      <w:r w:rsidRPr="00BC215F">
        <w:rPr>
          <w:rFonts w:ascii="Times New Roman" w:hAnsi="Times New Roman" w:cs="Times New Roman"/>
          <w:b/>
          <w:bCs/>
          <w:sz w:val="24"/>
          <w:szCs w:val="24"/>
        </w:rPr>
        <w:t>5.3.9. Integrācija ar LINAC drošības blokādi</w:t>
      </w:r>
    </w:p>
    <w:p w14:paraId="3DB3D94E" w14:textId="77777777" w:rsidR="00AB79D1" w:rsidRPr="00BC215F" w:rsidRDefault="00C44FBD" w:rsidP="00BC215F">
      <w:pPr>
        <w:spacing w:before="120" w:after="120"/>
        <w:jc w:val="both"/>
        <w:rPr>
          <w:rFonts w:ascii="Times New Roman" w:hAnsi="Times New Roman" w:cs="Times New Roman"/>
          <w:sz w:val="24"/>
          <w:szCs w:val="24"/>
        </w:rPr>
      </w:pPr>
      <w:r w:rsidRPr="00BC215F">
        <w:rPr>
          <w:rFonts w:ascii="Times New Roman" w:hAnsi="Times New Roman" w:cs="Times New Roman"/>
          <w:sz w:val="24"/>
          <w:szCs w:val="24"/>
        </w:rPr>
        <w:t>Durvju integrācija ar LINAC drošības blokādi: apstarošana nav iespējama, kamēr durvis nav aizvērtas; durvju atvēršana apstarošanas laikā izraisa stara pārtraukšanu. Risinājums saskaņojams ar iekārtas ražotāju/uzturētāju un esošo telpas drošības sistēmu.</w:t>
      </w:r>
    </w:p>
    <w:p w14:paraId="37A466BE"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5.4. Montāža un blīvēšana</w:t>
      </w:r>
    </w:p>
    <w:p w14:paraId="390665F5"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piegāde, uzstādīšana, regulēšana un </w:t>
      </w:r>
      <w:proofErr w:type="spellStart"/>
      <w:r w:rsidRPr="00BC215F">
        <w:rPr>
          <w:rFonts w:ascii="Times New Roman" w:hAnsi="Times New Roman" w:cs="Times New Roman"/>
          <w:sz w:val="24"/>
          <w:szCs w:val="24"/>
        </w:rPr>
        <w:t>pieslēgumu</w:t>
      </w:r>
      <w:proofErr w:type="spellEnd"/>
      <w:r w:rsidRPr="00BC215F">
        <w:rPr>
          <w:rFonts w:ascii="Times New Roman" w:hAnsi="Times New Roman" w:cs="Times New Roman"/>
          <w:sz w:val="24"/>
          <w:szCs w:val="24"/>
        </w:rPr>
        <w:t xml:space="preserve"> izpilde ar elektroapgādi un vadības/blokādes sistēmām;</w:t>
      </w:r>
    </w:p>
    <w:p w14:paraId="4582472A"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ailes un savienojumu izpilde tā, lai netiktu radīti tiešas starojuma noplūdes ceļi (pārsegumi/labirinta principa spraugu blīvēšana durvju perimetrā).</w:t>
      </w:r>
    </w:p>
    <w:p w14:paraId="31F0E3F6"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6. Prasības Izpildītājam / Pretendentam</w:t>
      </w:r>
    </w:p>
    <w:p w14:paraId="016615B5"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pieredze starojuma aizsardzības durvju vai analoģisku medicīnas iekārtu telpu risinājumu piegādē un montāžā;</w:t>
      </w:r>
    </w:p>
    <w:p w14:paraId="445B8337"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bīstamo atkritumu apsaimniekošanas nodrošinājums (pašam vai apakšuzņēmējam) ar spēkā esošu atļauju;</w:t>
      </w:r>
    </w:p>
    <w:p w14:paraId="05C5B33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darbu saskaņošana ar radiācijas drošības ekspertu; darba aizsardzības un piekļuves prasību ievērošana darbojošās slimnīcas apstākļos.</w:t>
      </w:r>
    </w:p>
    <w:p w14:paraId="0C7A23CC"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7. Dokumentācija, garantija un nodošana</w:t>
      </w:r>
    </w:p>
    <w:p w14:paraId="44BC0D85"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7.1. Pirms izgatavošanas (saskaņošanai)</w:t>
      </w:r>
    </w:p>
    <w:p w14:paraId="7D5F7AEF"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izgatavošanas rasējumi, aizsardzības aprēķins, materiālu sertifikāti (svina un BPE bora saturs), automātikas un drošības risinājumu apraksts un riska novērtējums.</w:t>
      </w:r>
    </w:p>
    <w:p w14:paraId="52FC17F0"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7.2. Pieņemšanas kritērijs (obligāts)</w:t>
      </w:r>
    </w:p>
    <w:p w14:paraId="2C2F286E"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pēc uzstādīšanas radiācijas drošības eksperts veic uzstādīto durvju </w:t>
      </w:r>
      <w:r w:rsidRPr="00BC215F">
        <w:rPr>
          <w:rFonts w:ascii="Times New Roman" w:hAnsi="Times New Roman" w:cs="Times New Roman"/>
          <w:b/>
          <w:bCs/>
          <w:sz w:val="24"/>
          <w:szCs w:val="24"/>
        </w:rPr>
        <w:t>radiācijas noplūdes/dozas jaudas mērījumu</w:t>
      </w:r>
      <w:r w:rsidRPr="00BC215F">
        <w:rPr>
          <w:rFonts w:ascii="Times New Roman" w:hAnsi="Times New Roman" w:cs="Times New Roman"/>
          <w:sz w:val="24"/>
          <w:szCs w:val="24"/>
        </w:rPr>
        <w:t>, kas apliecina atbilstību projekta mērķa dozai. Bez pozitīva atzinuma durvis netiek pieņemtas;</w:t>
      </w:r>
    </w:p>
    <w:p w14:paraId="282EE06D"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durvju nodošanas/pieņemšanas pārbaudē pārbaudāma un dokumentējama automātikas un drošības funkciju (t.sk. avārijas atvēršanas) darbība.</w:t>
      </w:r>
    </w:p>
    <w:p w14:paraId="29646E9F"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7.3. Nodošanas dokumentācija</w:t>
      </w:r>
    </w:p>
    <w:p w14:paraId="0CF48602"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proofErr w:type="spellStart"/>
      <w:r w:rsidRPr="00BC215F">
        <w:rPr>
          <w:rFonts w:ascii="Times New Roman" w:hAnsi="Times New Roman" w:cs="Times New Roman"/>
          <w:sz w:val="24"/>
          <w:szCs w:val="24"/>
        </w:rPr>
        <w:t>izpilddokumentācija</w:t>
      </w:r>
      <w:proofErr w:type="spellEnd"/>
      <w:r w:rsidRPr="00BC215F">
        <w:rPr>
          <w:rFonts w:ascii="Times New Roman" w:hAnsi="Times New Roman" w:cs="Times New Roman"/>
          <w:sz w:val="24"/>
          <w:szCs w:val="24"/>
        </w:rPr>
        <w:t>; ekspluatācijas un apkopes instrukcijas latviešu valodā; automātikas elektrodrošības/atbilstības (CE) dokumenti; veco durvju utilizācijas apliecinājumi; garantijas dokumenti.</w:t>
      </w:r>
    </w:p>
    <w:p w14:paraId="1BC5AFB4"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7.4. Garantija un apkalpošana</w:t>
      </w:r>
    </w:p>
    <w:p w14:paraId="09F24FFB"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garantija durvīm un automātikai ne mazāk kā 24 mēneši; rezerves daļu un servisa pieejamības nodrošinājums.</w:t>
      </w:r>
    </w:p>
    <w:p w14:paraId="2FF2FD84" w14:textId="77777777" w:rsidR="00AB79D1" w:rsidRPr="00BC215F" w:rsidRDefault="00C44FBD" w:rsidP="00BC215F">
      <w:pPr>
        <w:pStyle w:val="Heading2"/>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7.5. Apmācība</w:t>
      </w:r>
    </w:p>
    <w:p w14:paraId="17F486AD"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personāla instruktāža par durvju lietošanu, drošības funkcijām un avārijas atvēršanu.</w:t>
      </w:r>
    </w:p>
    <w:p w14:paraId="1ADF4689"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t>8. Izpildes nosacījumi</w:t>
      </w:r>
    </w:p>
    <w:p w14:paraId="02A1A547"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darbi jāorganizē, minimizējot klīnikas darbības traucējumus; darbu grafiks saskaņojams ar Pasūtītāju;</w:t>
      </w:r>
    </w:p>
    <w:p w14:paraId="0E4E4E6B"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objekts ir darbojošās slimnīcas kontrolējamā zona – jāievēro piekļuves, tīrības, darba un radiācijas drošības prasības.</w:t>
      </w:r>
    </w:p>
    <w:p w14:paraId="6D230622" w14:textId="77777777" w:rsidR="00AB79D1" w:rsidRPr="00BC215F" w:rsidRDefault="00C44FBD" w:rsidP="00BC215F">
      <w:pPr>
        <w:pStyle w:val="Heading1"/>
        <w:spacing w:before="120" w:after="120"/>
        <w:rPr>
          <w:rFonts w:ascii="Times New Roman" w:hAnsi="Times New Roman" w:cs="Times New Roman"/>
          <w:color w:val="auto"/>
          <w:sz w:val="24"/>
          <w:szCs w:val="24"/>
        </w:rPr>
      </w:pPr>
      <w:r w:rsidRPr="00BC215F">
        <w:rPr>
          <w:rFonts w:ascii="Times New Roman" w:hAnsi="Times New Roman" w:cs="Times New Roman"/>
          <w:b/>
          <w:bCs/>
          <w:color w:val="auto"/>
          <w:sz w:val="24"/>
          <w:szCs w:val="24"/>
        </w:rPr>
        <w:lastRenderedPageBreak/>
        <w:t>9. Pielikumi</w:t>
      </w:r>
    </w:p>
    <w:p w14:paraId="73AF3E16" w14:textId="77777777"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Pielikums Nr. 1 – Durvju aizsardzības (radiācijas) aprēķina pamatojums, 8. kabinets;</w:t>
      </w:r>
    </w:p>
    <w:p w14:paraId="24EDB606" w14:textId="68A67680" w:rsidR="00AB79D1" w:rsidRPr="00BC215F" w:rsidRDefault="00C44FBD" w:rsidP="00BC215F">
      <w:pPr>
        <w:pStyle w:val="ListParagraph"/>
        <w:numPr>
          <w:ilvl w:val="0"/>
          <w:numId w:val="2"/>
        </w:numPr>
        <w:spacing w:before="120" w:after="120"/>
        <w:rPr>
          <w:rFonts w:ascii="Times New Roman" w:hAnsi="Times New Roman" w:cs="Times New Roman"/>
          <w:sz w:val="24"/>
          <w:szCs w:val="24"/>
        </w:rPr>
      </w:pPr>
      <w:r w:rsidRPr="00BC215F">
        <w:rPr>
          <w:rFonts w:ascii="Times New Roman" w:hAnsi="Times New Roman" w:cs="Times New Roman"/>
          <w:sz w:val="24"/>
          <w:szCs w:val="24"/>
        </w:rPr>
        <w:t xml:space="preserve">Pielikums Nr. </w:t>
      </w:r>
      <w:r w:rsidR="005B1FFB" w:rsidRPr="00BC215F">
        <w:rPr>
          <w:rFonts w:ascii="Times New Roman" w:hAnsi="Times New Roman" w:cs="Times New Roman"/>
          <w:sz w:val="24"/>
          <w:szCs w:val="24"/>
        </w:rPr>
        <w:t>2</w:t>
      </w:r>
      <w:r w:rsidRPr="00BC215F">
        <w:rPr>
          <w:rFonts w:ascii="Times New Roman" w:hAnsi="Times New Roman" w:cs="Times New Roman"/>
          <w:sz w:val="24"/>
          <w:szCs w:val="24"/>
        </w:rPr>
        <w:t xml:space="preserve"> – Esošo durvju un darba zonas </w:t>
      </w:r>
      <w:proofErr w:type="spellStart"/>
      <w:r w:rsidRPr="00BC215F">
        <w:rPr>
          <w:rFonts w:ascii="Times New Roman" w:hAnsi="Times New Roman" w:cs="Times New Roman"/>
          <w:sz w:val="24"/>
          <w:szCs w:val="24"/>
        </w:rPr>
        <w:t>fotofiksācija</w:t>
      </w:r>
      <w:proofErr w:type="spellEnd"/>
      <w:r w:rsidRPr="00BC215F">
        <w:rPr>
          <w:rFonts w:ascii="Times New Roman" w:hAnsi="Times New Roman" w:cs="Times New Roman"/>
          <w:sz w:val="24"/>
          <w:szCs w:val="24"/>
        </w:rPr>
        <w:t>.</w:t>
      </w:r>
    </w:p>
    <w:p w14:paraId="4E6CCA89" w14:textId="77777777" w:rsidR="00AB79D1" w:rsidRPr="00BC215F" w:rsidRDefault="00AB79D1" w:rsidP="00BC215F">
      <w:pPr>
        <w:spacing w:before="120" w:after="120"/>
        <w:jc w:val="both"/>
        <w:rPr>
          <w:rFonts w:ascii="Times New Roman" w:hAnsi="Times New Roman" w:cs="Times New Roman"/>
          <w:sz w:val="24"/>
          <w:szCs w:val="24"/>
        </w:rPr>
      </w:pPr>
    </w:p>
    <w:p w14:paraId="3EA2D91D" w14:textId="46AFDCFB" w:rsidR="00AB79D1" w:rsidRPr="00BC215F" w:rsidRDefault="00AB79D1" w:rsidP="00BC215F">
      <w:pPr>
        <w:spacing w:before="120" w:after="120"/>
        <w:jc w:val="both"/>
        <w:rPr>
          <w:rFonts w:ascii="Times New Roman" w:hAnsi="Times New Roman" w:cs="Times New Roman"/>
          <w:sz w:val="24"/>
          <w:szCs w:val="24"/>
        </w:rPr>
      </w:pPr>
    </w:p>
    <w:sectPr w:rsidR="00AB79D1" w:rsidRPr="00BC215F" w:rsidSect="00BC215F">
      <w:footerReference w:type="default" r:id="rId7"/>
      <w:pgSz w:w="11906" w:h="16838"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C3C50" w14:textId="77777777" w:rsidR="00C44FBD" w:rsidRDefault="00C44FBD" w:rsidP="008F649F">
      <w:r>
        <w:separator/>
      </w:r>
    </w:p>
  </w:endnote>
  <w:endnote w:type="continuationSeparator" w:id="0">
    <w:p w14:paraId="4B42264D" w14:textId="77777777" w:rsidR="00C44FBD" w:rsidRDefault="00C44FBD" w:rsidP="008F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429508"/>
      <w:docPartObj>
        <w:docPartGallery w:val="Page Numbers (Bottom of Page)"/>
        <w:docPartUnique/>
      </w:docPartObj>
    </w:sdtPr>
    <w:sdtEndPr>
      <w:rPr>
        <w:noProof/>
      </w:rPr>
    </w:sdtEndPr>
    <w:sdtContent>
      <w:p w14:paraId="61FA427D" w14:textId="12F8BEEA" w:rsidR="008F649F" w:rsidRDefault="008F64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6AAF" w14:textId="77777777" w:rsidR="00C44FBD" w:rsidRDefault="00C44FBD" w:rsidP="008F649F">
      <w:r>
        <w:separator/>
      </w:r>
    </w:p>
  </w:footnote>
  <w:footnote w:type="continuationSeparator" w:id="0">
    <w:p w14:paraId="683F25FD" w14:textId="77777777" w:rsidR="00C44FBD" w:rsidRDefault="00C44FBD" w:rsidP="008F6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970BD"/>
    <w:multiLevelType w:val="hybridMultilevel"/>
    <w:tmpl w:val="A0FC8DF0"/>
    <w:lvl w:ilvl="0" w:tplc="D3A86722">
      <w:start w:val="1"/>
      <w:numFmt w:val="bullet"/>
      <w:lvlText w:val="●"/>
      <w:lvlJc w:val="left"/>
      <w:pPr>
        <w:ind w:left="720" w:hanging="360"/>
      </w:pPr>
    </w:lvl>
    <w:lvl w:ilvl="1" w:tplc="DB000712">
      <w:start w:val="1"/>
      <w:numFmt w:val="bullet"/>
      <w:lvlText w:val="○"/>
      <w:lvlJc w:val="left"/>
      <w:pPr>
        <w:ind w:left="1440" w:hanging="360"/>
      </w:pPr>
    </w:lvl>
    <w:lvl w:ilvl="2" w:tplc="A0208610">
      <w:start w:val="1"/>
      <w:numFmt w:val="bullet"/>
      <w:lvlText w:val="■"/>
      <w:lvlJc w:val="left"/>
      <w:pPr>
        <w:ind w:left="2160" w:hanging="360"/>
      </w:pPr>
    </w:lvl>
    <w:lvl w:ilvl="3" w:tplc="9992F7EE">
      <w:start w:val="1"/>
      <w:numFmt w:val="bullet"/>
      <w:lvlText w:val="●"/>
      <w:lvlJc w:val="left"/>
      <w:pPr>
        <w:ind w:left="2880" w:hanging="360"/>
      </w:pPr>
    </w:lvl>
    <w:lvl w:ilvl="4" w:tplc="2E1069D2">
      <w:start w:val="1"/>
      <w:numFmt w:val="bullet"/>
      <w:lvlText w:val="○"/>
      <w:lvlJc w:val="left"/>
      <w:pPr>
        <w:ind w:left="3600" w:hanging="360"/>
      </w:pPr>
    </w:lvl>
    <w:lvl w:ilvl="5" w:tplc="304E7B08">
      <w:start w:val="1"/>
      <w:numFmt w:val="bullet"/>
      <w:lvlText w:val="■"/>
      <w:lvlJc w:val="left"/>
      <w:pPr>
        <w:ind w:left="4320" w:hanging="360"/>
      </w:pPr>
    </w:lvl>
    <w:lvl w:ilvl="6" w:tplc="4A0C3E9C">
      <w:start w:val="1"/>
      <w:numFmt w:val="bullet"/>
      <w:lvlText w:val="●"/>
      <w:lvlJc w:val="left"/>
      <w:pPr>
        <w:ind w:left="5040" w:hanging="360"/>
      </w:pPr>
    </w:lvl>
    <w:lvl w:ilvl="7" w:tplc="400EBA14">
      <w:start w:val="1"/>
      <w:numFmt w:val="bullet"/>
      <w:lvlText w:val="●"/>
      <w:lvlJc w:val="left"/>
      <w:pPr>
        <w:ind w:left="5760" w:hanging="360"/>
      </w:pPr>
    </w:lvl>
    <w:lvl w:ilvl="8" w:tplc="481A7D48">
      <w:start w:val="1"/>
      <w:numFmt w:val="bullet"/>
      <w:lvlText w:val="●"/>
      <w:lvlJc w:val="left"/>
      <w:pPr>
        <w:ind w:left="6480" w:hanging="360"/>
      </w:pPr>
    </w:lvl>
  </w:abstractNum>
  <w:abstractNum w:abstractNumId="1" w15:restartNumberingAfterBreak="0">
    <w:nsid w:val="7536594E"/>
    <w:multiLevelType w:val="hybridMultilevel"/>
    <w:tmpl w:val="A7947552"/>
    <w:lvl w:ilvl="0" w:tplc="6F08E6C6">
      <w:start w:val="1"/>
      <w:numFmt w:val="bullet"/>
      <w:lvlText w:val="•"/>
      <w:lvlJc w:val="left"/>
      <w:pPr>
        <w:ind w:left="520" w:hanging="260"/>
      </w:pPr>
    </w:lvl>
    <w:lvl w:ilvl="1" w:tplc="FB8E0CA4">
      <w:start w:val="1"/>
      <w:numFmt w:val="bullet"/>
      <w:lvlText w:val="–"/>
      <w:lvlJc w:val="left"/>
      <w:pPr>
        <w:ind w:left="980" w:hanging="260"/>
      </w:pPr>
    </w:lvl>
    <w:lvl w:ilvl="2" w:tplc="6B0C24D4">
      <w:numFmt w:val="decimal"/>
      <w:lvlText w:val=""/>
      <w:lvlJc w:val="left"/>
    </w:lvl>
    <w:lvl w:ilvl="3" w:tplc="5AAC10D2">
      <w:numFmt w:val="decimal"/>
      <w:lvlText w:val=""/>
      <w:lvlJc w:val="left"/>
    </w:lvl>
    <w:lvl w:ilvl="4" w:tplc="CF1C0EE0">
      <w:numFmt w:val="decimal"/>
      <w:lvlText w:val=""/>
      <w:lvlJc w:val="left"/>
    </w:lvl>
    <w:lvl w:ilvl="5" w:tplc="060AF8A6">
      <w:numFmt w:val="decimal"/>
      <w:lvlText w:val=""/>
      <w:lvlJc w:val="left"/>
    </w:lvl>
    <w:lvl w:ilvl="6" w:tplc="7D024A34">
      <w:numFmt w:val="decimal"/>
      <w:lvlText w:val=""/>
      <w:lvlJc w:val="left"/>
    </w:lvl>
    <w:lvl w:ilvl="7" w:tplc="FD229772">
      <w:numFmt w:val="decimal"/>
      <w:lvlText w:val=""/>
      <w:lvlJc w:val="left"/>
    </w:lvl>
    <w:lvl w:ilvl="8" w:tplc="7E96DC6C">
      <w:numFmt w:val="decimal"/>
      <w:lvlText w:val=""/>
      <w:lvlJc w:val="left"/>
    </w:lvl>
  </w:abstractNum>
  <w:num w:numId="1" w16cid:durableId="1878858880">
    <w:abstractNumId w:val="0"/>
    <w:lvlOverride w:ilvl="0">
      <w:startOverride w:val="1"/>
    </w:lvlOverride>
  </w:num>
  <w:num w:numId="2" w16cid:durableId="2769582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9D1"/>
    <w:rsid w:val="002C7B5C"/>
    <w:rsid w:val="005B1FFB"/>
    <w:rsid w:val="007F4492"/>
    <w:rsid w:val="008C665B"/>
    <w:rsid w:val="008F649F"/>
    <w:rsid w:val="00AB79D1"/>
    <w:rsid w:val="00B15C14"/>
    <w:rsid w:val="00BC215F"/>
    <w:rsid w:val="00C44F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37F6"/>
  <w15:docId w15:val="{DE839A5E-3C42-4D6F-AE3A-61D0F799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F649F"/>
    <w:pPr>
      <w:tabs>
        <w:tab w:val="center" w:pos="4153"/>
        <w:tab w:val="right" w:pos="8306"/>
      </w:tabs>
    </w:pPr>
  </w:style>
  <w:style w:type="character" w:customStyle="1" w:styleId="HeaderChar">
    <w:name w:val="Header Char"/>
    <w:basedOn w:val="DefaultParagraphFont"/>
    <w:link w:val="Header"/>
    <w:uiPriority w:val="99"/>
    <w:rsid w:val="008F649F"/>
  </w:style>
  <w:style w:type="paragraph" w:styleId="Footer">
    <w:name w:val="footer"/>
    <w:basedOn w:val="Normal"/>
    <w:link w:val="FooterChar"/>
    <w:uiPriority w:val="99"/>
    <w:unhideWhenUsed/>
    <w:rsid w:val="008F649F"/>
    <w:pPr>
      <w:tabs>
        <w:tab w:val="center" w:pos="4153"/>
        <w:tab w:val="right" w:pos="8306"/>
      </w:tabs>
    </w:pPr>
  </w:style>
  <w:style w:type="character" w:customStyle="1" w:styleId="FooterChar">
    <w:name w:val="Footer Char"/>
    <w:basedOn w:val="DefaultParagraphFont"/>
    <w:link w:val="Footer"/>
    <w:uiPriority w:val="99"/>
    <w:rsid w:val="008F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9096</Words>
  <Characters>5185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Tehniskā specifikācija</dc:creator>
  <cp:lastModifiedBy>Aija Jēkabsone-Lasenberga</cp:lastModifiedBy>
  <cp:revision>2</cp:revision>
  <dcterms:created xsi:type="dcterms:W3CDTF">2026-08-25T11:20:00Z</dcterms:created>
  <dcterms:modified xsi:type="dcterms:W3CDTF">2026-08-25T11:20:00Z</dcterms:modified>
</cp:coreProperties>
</file>